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lastRenderedPageBreak/>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 xml:space="preserve">βεβαίωση του (Δ.Ο.Α.Τ.Α.Π.) να καθορίζεται η συνάφεια του γνωστικού αντικειμένου του πτυχίου, </w:t>
      </w:r>
      <w:r w:rsidRPr="001D6B67">
        <w:rPr>
          <w:rFonts w:ascii="Arial" w:hAnsi="Arial" w:cs="Arial"/>
          <w:b/>
        </w:rPr>
        <w:lastRenderedPageBreak/>
        <w:t>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lastRenderedPageBreak/>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lastRenderedPageBreak/>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lastRenderedPageBreak/>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w:t>
      </w:r>
      <w:r w:rsidRPr="00FC3001">
        <w:rPr>
          <w:rFonts w:ascii="Arial" w:eastAsia="Calibri" w:hAnsi="Arial" w:cs="Arial"/>
          <w:color w:val="000000"/>
        </w:rPr>
        <w:lastRenderedPageBreak/>
        <w:t>(και)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lastRenderedPageBreak/>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lastRenderedPageBreak/>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 xml:space="preserve">τουλάχιστον δύο απολαμβάνουν όλα τα ευεργετήματα των </w:t>
      </w:r>
      <w:r w:rsidR="00117B57" w:rsidRPr="000E69EA">
        <w:rPr>
          <w:rFonts w:ascii="Arial" w:hAnsi="Arial" w:cs="Arial"/>
          <w:szCs w:val="24"/>
        </w:rPr>
        <w:lastRenderedPageBreak/>
        <w:t>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lastRenderedPageBreak/>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lastRenderedPageBreak/>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w:t>
      </w:r>
      <w:r w:rsidR="00EC1203" w:rsidRPr="00BC3D5B">
        <w:rPr>
          <w:rFonts w:ascii="Arial" w:hAnsi="Arial" w:cs="Arial"/>
          <w:szCs w:val="24"/>
        </w:rPr>
        <w:lastRenderedPageBreak/>
        <w:t xml:space="preserve">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lastRenderedPageBreak/>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lastRenderedPageBreak/>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w:t>
      </w:r>
      <w:r w:rsidRPr="00014AF1">
        <w:rPr>
          <w:rFonts w:ascii="Arial" w:hAnsi="Arial" w:cs="Arial"/>
          <w:sz w:val="24"/>
          <w:szCs w:val="24"/>
        </w:rPr>
        <w:lastRenderedPageBreak/>
        <w:t>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C361FE"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C361FE"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C361FE" w:rsidP="00C361FE">
      <w:pPr>
        <w:rPr>
          <w:rFonts w:cs="Arial"/>
          <w:szCs w:val="22"/>
        </w:rPr>
      </w:pPr>
      <w:r w:rsidRPr="00BC3D5B">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Pr>
          <w:rFonts w:ascii="Arial" w:hAnsi="Arial"/>
          <w:lang w:val="en-US"/>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br w:type="page"/>
      </w:r>
      <w:r w:rsidR="00453790">
        <w:rPr>
          <w:noProof/>
        </w:rPr>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278" w:rsidRDefault="00606278">
      <w:r>
        <w:separator/>
      </w:r>
    </w:p>
  </w:endnote>
  <w:endnote w:type="continuationSeparator" w:id="1">
    <w:p w:rsidR="00606278" w:rsidRDefault="00606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7961C8">
      <w:rPr>
        <w:rStyle w:val="a5"/>
        <w:rFonts w:ascii="Arial" w:hAnsi="Arial" w:cs="Arial"/>
        <w:noProof/>
        <w:sz w:val="20"/>
      </w:rPr>
      <w:t>2</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278" w:rsidRDefault="00606278">
      <w:r>
        <w:separator/>
      </w:r>
    </w:p>
  </w:footnote>
  <w:footnote w:type="continuationSeparator" w:id="1">
    <w:p w:rsidR="00606278" w:rsidRDefault="00606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lvlOverride w:ilvl="0"/>
    <w:lvlOverride w:ilvl="1"/>
    <w:lvlOverride w:ilvl="2"/>
    <w:lvlOverride w:ilvl="3"/>
    <w:lvlOverride w:ilvl="4"/>
    <w:lvlOverride w:ilvl="5"/>
    <w:lvlOverride w:ilvl="6"/>
    <w:lvlOverride w:ilvl="7"/>
    <w:lvlOverride w:ilvl="8"/>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278"/>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1C8"/>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5B5F-52A5-4844-A57B-4896D53D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User8</cp:lastModifiedBy>
  <cp:revision>2</cp:revision>
  <cp:lastPrinted>2025-02-14T09:10:00Z</cp:lastPrinted>
  <dcterms:created xsi:type="dcterms:W3CDTF">2026-07-09T06:52:00Z</dcterms:created>
  <dcterms:modified xsi:type="dcterms:W3CDTF">2026-07-09T06:52:00Z</dcterms:modified>
</cp:coreProperties>
</file>